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EC6539"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EC6539">
        <w:rPr>
          <w:rFonts w:ascii="Times New Roman" w:eastAsia="Times New Roman" w:hAnsi="Times New Roman" w:cs="Times New Roman"/>
          <w:sz w:val="24"/>
          <w:szCs w:val="24"/>
          <w:lang w:eastAsia="ar-SA"/>
        </w:rPr>
        <w:t>Приложение №</w:t>
      </w:r>
      <w:r w:rsidR="003D3018" w:rsidRPr="00EC6539">
        <w:rPr>
          <w:rFonts w:ascii="Times New Roman" w:eastAsia="Times New Roman" w:hAnsi="Times New Roman" w:cs="Times New Roman"/>
          <w:sz w:val="24"/>
          <w:szCs w:val="24"/>
          <w:lang w:eastAsia="ar-SA"/>
        </w:rPr>
        <w:t>2</w:t>
      </w:r>
    </w:p>
    <w:p w:rsidR="00312DF4" w:rsidRPr="00EC6539"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EC6539">
        <w:rPr>
          <w:rFonts w:ascii="Times New Roman" w:eastAsia="Times New Roman" w:hAnsi="Times New Roman" w:cs="Times New Roman"/>
          <w:sz w:val="24"/>
          <w:szCs w:val="24"/>
          <w:lang w:eastAsia="ar-SA"/>
        </w:rPr>
        <w:t xml:space="preserve">к </w:t>
      </w:r>
      <w:r w:rsidR="00EC6539" w:rsidRPr="00EC6539">
        <w:rPr>
          <w:rFonts w:ascii="Times New Roman" w:hAnsi="Times New Roman" w:cs="Times New Roman"/>
          <w:sz w:val="24"/>
          <w:szCs w:val="24"/>
        </w:rPr>
        <w:t>документации об электронном аукционе</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3C1751" w:rsidP="00C82A29">
      <w:pPr>
        <w:spacing w:after="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C82A29"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Муниципальн</w:t>
            </w:r>
            <w:r w:rsidR="005776F8">
              <w:rPr>
                <w:rFonts w:ascii="Times New Roman" w:hAnsi="Times New Roman"/>
                <w:bCs/>
                <w:sz w:val="24"/>
                <w:szCs w:val="24"/>
              </w:rPr>
              <w:t>ы</w:t>
            </w:r>
            <w:r w:rsidR="003C1751">
              <w:rPr>
                <w:rFonts w:ascii="Times New Roman" w:hAnsi="Times New Roman"/>
                <w:bCs/>
                <w:sz w:val="24"/>
                <w:szCs w:val="24"/>
              </w:rPr>
              <w:t>е нежил</w:t>
            </w:r>
            <w:r w:rsidR="005776F8">
              <w:rPr>
                <w:rFonts w:ascii="Times New Roman" w:hAnsi="Times New Roman"/>
                <w:bCs/>
                <w:sz w:val="24"/>
                <w:szCs w:val="24"/>
              </w:rPr>
              <w:t>ы</w:t>
            </w:r>
            <w:r w:rsidR="003C1751">
              <w:rPr>
                <w:rFonts w:ascii="Times New Roman" w:hAnsi="Times New Roman"/>
                <w:bCs/>
                <w:sz w:val="24"/>
                <w:szCs w:val="24"/>
              </w:rPr>
              <w:t>е помещени</w:t>
            </w:r>
            <w:r w:rsidR="005776F8">
              <w:rPr>
                <w:rFonts w:ascii="Times New Roman" w:hAnsi="Times New Roman"/>
                <w:bCs/>
                <w:sz w:val="24"/>
                <w:szCs w:val="24"/>
              </w:rPr>
              <w:t>я</w:t>
            </w:r>
            <w:r w:rsidR="003C1751">
              <w:rPr>
                <w:rFonts w:ascii="Times New Roman" w:hAnsi="Times New Roman"/>
                <w:bCs/>
                <w:sz w:val="24"/>
                <w:szCs w:val="24"/>
              </w:rPr>
              <w:t xml:space="preserve">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Pr="00EC6539" w:rsidRDefault="003E7D32" w:rsidP="005776F8">
            <w:pPr>
              <w:spacing w:after="0" w:line="240" w:lineRule="auto"/>
              <w:ind w:firstLine="59"/>
              <w:jc w:val="both"/>
              <w:rPr>
                <w:rFonts w:ascii="Times New Roman" w:hAnsi="Times New Roman" w:cs="Times New Roman"/>
                <w:color w:val="000000"/>
                <w:sz w:val="24"/>
                <w:szCs w:val="24"/>
              </w:rPr>
            </w:pPr>
            <w:r w:rsidRPr="00EC6539">
              <w:rPr>
                <w:rFonts w:ascii="Times New Roman" w:hAnsi="Times New Roman" w:cs="Times New Roman"/>
                <w:bCs/>
                <w:sz w:val="24"/>
                <w:szCs w:val="24"/>
              </w:rPr>
              <w:t xml:space="preserve">- площадью </w:t>
            </w:r>
            <w:r w:rsidR="00E814D6" w:rsidRPr="00EC6539">
              <w:rPr>
                <w:rFonts w:ascii="Times New Roman" w:hAnsi="Times New Roman" w:cs="Times New Roman"/>
                <w:b/>
                <w:bCs/>
                <w:sz w:val="24"/>
                <w:szCs w:val="24"/>
              </w:rPr>
              <w:t>116</w:t>
            </w:r>
            <w:r w:rsidR="004519E8" w:rsidRPr="00EC6539">
              <w:rPr>
                <w:rFonts w:ascii="Times New Roman" w:hAnsi="Times New Roman" w:cs="Times New Roman"/>
                <w:b/>
                <w:bCs/>
                <w:sz w:val="24"/>
                <w:szCs w:val="24"/>
              </w:rPr>
              <w:t>,</w:t>
            </w:r>
            <w:r w:rsidR="00E814D6" w:rsidRPr="00EC6539">
              <w:rPr>
                <w:rFonts w:ascii="Times New Roman" w:hAnsi="Times New Roman" w:cs="Times New Roman"/>
                <w:b/>
                <w:bCs/>
                <w:sz w:val="24"/>
                <w:szCs w:val="24"/>
              </w:rPr>
              <w:t>6</w:t>
            </w:r>
            <w:r w:rsidR="004519E8" w:rsidRPr="00EC6539">
              <w:rPr>
                <w:rFonts w:ascii="Times New Roman" w:hAnsi="Times New Roman" w:cs="Times New Roman"/>
                <w:b/>
                <w:bCs/>
                <w:sz w:val="24"/>
                <w:szCs w:val="24"/>
              </w:rPr>
              <w:t>0</w:t>
            </w:r>
            <w:r w:rsidRPr="00EC6539">
              <w:rPr>
                <w:rFonts w:ascii="Times New Roman" w:hAnsi="Times New Roman" w:cs="Times New Roman"/>
                <w:b/>
                <w:bCs/>
                <w:sz w:val="24"/>
                <w:szCs w:val="24"/>
              </w:rPr>
              <w:t xml:space="preserve"> кв. м</w:t>
            </w:r>
            <w:r w:rsidRPr="00EC6539">
              <w:rPr>
                <w:rFonts w:ascii="Times New Roman" w:hAnsi="Times New Roman" w:cs="Times New Roman"/>
                <w:bCs/>
                <w:sz w:val="24"/>
                <w:szCs w:val="24"/>
              </w:rPr>
              <w:t xml:space="preserve"> (</w:t>
            </w:r>
            <w:r w:rsidR="00EC4B13" w:rsidRPr="00EC6539">
              <w:rPr>
                <w:rFonts w:ascii="Times New Roman" w:hAnsi="Times New Roman" w:cs="Times New Roman"/>
                <w:bCs/>
                <w:sz w:val="24"/>
                <w:szCs w:val="24"/>
              </w:rPr>
              <w:t>план помещения</w:t>
            </w:r>
            <w:r w:rsidRPr="00EC6539">
              <w:rPr>
                <w:rFonts w:ascii="Times New Roman" w:hAnsi="Times New Roman" w:cs="Times New Roman"/>
                <w:bCs/>
                <w:sz w:val="24"/>
                <w:szCs w:val="24"/>
              </w:rPr>
              <w:t>, подготовленный ФГУП «</w:t>
            </w:r>
            <w:proofErr w:type="spellStart"/>
            <w:r w:rsidRPr="00EC6539">
              <w:rPr>
                <w:rFonts w:ascii="Times New Roman" w:hAnsi="Times New Roman" w:cs="Times New Roman"/>
                <w:bCs/>
                <w:sz w:val="24"/>
                <w:szCs w:val="24"/>
              </w:rPr>
              <w:t>Ростехинвентаризация</w:t>
            </w:r>
            <w:proofErr w:type="spellEnd"/>
            <w:r w:rsidRPr="00EC6539">
              <w:rPr>
                <w:rFonts w:ascii="Times New Roman" w:hAnsi="Times New Roman" w:cs="Times New Roman"/>
                <w:bCs/>
                <w:sz w:val="24"/>
                <w:szCs w:val="24"/>
              </w:rPr>
              <w:t xml:space="preserve"> – Федеральное БТИ», по состоянию на </w:t>
            </w:r>
            <w:r w:rsidR="00E814D6" w:rsidRPr="00EC6539">
              <w:rPr>
                <w:rFonts w:ascii="Times New Roman" w:hAnsi="Times New Roman" w:cs="Times New Roman"/>
                <w:bCs/>
                <w:sz w:val="24"/>
                <w:szCs w:val="24"/>
              </w:rPr>
              <w:t>16</w:t>
            </w:r>
            <w:r w:rsidRPr="00EC6539">
              <w:rPr>
                <w:rFonts w:ascii="Times New Roman" w:hAnsi="Times New Roman" w:cs="Times New Roman"/>
                <w:bCs/>
                <w:sz w:val="24"/>
                <w:szCs w:val="24"/>
              </w:rPr>
              <w:t>.</w:t>
            </w:r>
            <w:r w:rsidR="00E814D6" w:rsidRPr="00EC6539">
              <w:rPr>
                <w:rFonts w:ascii="Times New Roman" w:hAnsi="Times New Roman" w:cs="Times New Roman"/>
                <w:bCs/>
                <w:sz w:val="24"/>
                <w:szCs w:val="24"/>
              </w:rPr>
              <w:t>09</w:t>
            </w:r>
            <w:r w:rsidRPr="00EC6539">
              <w:rPr>
                <w:rFonts w:ascii="Times New Roman" w:hAnsi="Times New Roman" w:cs="Times New Roman"/>
                <w:bCs/>
                <w:sz w:val="24"/>
                <w:szCs w:val="24"/>
              </w:rPr>
              <w:t>.</w:t>
            </w:r>
            <w:r w:rsidR="00E814D6" w:rsidRPr="00EC6539">
              <w:rPr>
                <w:rFonts w:ascii="Times New Roman" w:hAnsi="Times New Roman" w:cs="Times New Roman"/>
                <w:bCs/>
                <w:sz w:val="24"/>
                <w:szCs w:val="24"/>
              </w:rPr>
              <w:t>200</w:t>
            </w:r>
            <w:r w:rsidR="0032799F" w:rsidRPr="00EC6539">
              <w:rPr>
                <w:rFonts w:ascii="Times New Roman" w:hAnsi="Times New Roman" w:cs="Times New Roman"/>
                <w:bCs/>
                <w:sz w:val="24"/>
                <w:szCs w:val="24"/>
              </w:rPr>
              <w:t>8</w:t>
            </w:r>
            <w:r w:rsidRPr="00EC6539">
              <w:rPr>
                <w:rFonts w:ascii="Times New Roman" w:hAnsi="Times New Roman" w:cs="Times New Roman"/>
                <w:bCs/>
                <w:sz w:val="24"/>
                <w:szCs w:val="24"/>
              </w:rPr>
              <w:t xml:space="preserve"> – Приложение </w:t>
            </w:r>
            <w:r w:rsidR="003D3018" w:rsidRPr="00EC6539">
              <w:rPr>
                <w:rFonts w:ascii="Times New Roman" w:hAnsi="Times New Roman" w:cs="Times New Roman"/>
                <w:bCs/>
                <w:sz w:val="24"/>
                <w:szCs w:val="24"/>
              </w:rPr>
              <w:t>№</w:t>
            </w:r>
            <w:r w:rsidR="003C1751" w:rsidRPr="00EC6539">
              <w:rPr>
                <w:rFonts w:ascii="Times New Roman" w:hAnsi="Times New Roman" w:cs="Times New Roman"/>
                <w:bCs/>
                <w:sz w:val="24"/>
                <w:szCs w:val="24"/>
              </w:rPr>
              <w:t xml:space="preserve"> </w:t>
            </w:r>
            <w:r w:rsidR="00EC6539" w:rsidRPr="00EC6539">
              <w:rPr>
                <w:rFonts w:ascii="Times New Roman" w:hAnsi="Times New Roman" w:cs="Times New Roman"/>
                <w:bCs/>
                <w:sz w:val="24"/>
                <w:szCs w:val="24"/>
              </w:rPr>
              <w:t>5.1</w:t>
            </w:r>
            <w:r w:rsidRPr="00EC6539">
              <w:rPr>
                <w:rFonts w:ascii="Times New Roman" w:hAnsi="Times New Roman" w:cs="Times New Roman"/>
                <w:bCs/>
                <w:sz w:val="24"/>
                <w:szCs w:val="24"/>
              </w:rPr>
              <w:t xml:space="preserve"> к </w:t>
            </w:r>
            <w:r w:rsidR="00EC6539" w:rsidRPr="00EC6539">
              <w:rPr>
                <w:rFonts w:ascii="Times New Roman" w:hAnsi="Times New Roman" w:cs="Times New Roman"/>
                <w:sz w:val="24"/>
                <w:szCs w:val="24"/>
              </w:rPr>
              <w:t>документации об электронном аукционе</w:t>
            </w:r>
            <w:r w:rsidRPr="00EC6539">
              <w:rPr>
                <w:rFonts w:ascii="Times New Roman" w:hAnsi="Times New Roman" w:cs="Times New Roman"/>
                <w:bCs/>
                <w:sz w:val="24"/>
                <w:szCs w:val="24"/>
              </w:rPr>
              <w:t xml:space="preserve">) – ЗСГО № </w:t>
            </w:r>
            <w:r w:rsidR="00E814D6" w:rsidRPr="00EC6539">
              <w:rPr>
                <w:rFonts w:ascii="Times New Roman" w:hAnsi="Times New Roman" w:cs="Times New Roman"/>
                <w:bCs/>
                <w:sz w:val="24"/>
                <w:szCs w:val="24"/>
              </w:rPr>
              <w:t>0753</w:t>
            </w:r>
            <w:r w:rsidR="0032799F" w:rsidRPr="00EC6539">
              <w:rPr>
                <w:rFonts w:ascii="Times New Roman" w:hAnsi="Times New Roman" w:cs="Times New Roman"/>
                <w:bCs/>
                <w:sz w:val="24"/>
                <w:szCs w:val="24"/>
              </w:rPr>
              <w:t>-55</w:t>
            </w:r>
            <w:r w:rsidR="005776F8" w:rsidRPr="00EC6539">
              <w:rPr>
                <w:rFonts w:ascii="Times New Roman" w:hAnsi="Times New Roman" w:cs="Times New Roman"/>
                <w:color w:val="000000"/>
                <w:sz w:val="24"/>
                <w:szCs w:val="24"/>
              </w:rPr>
              <w:t>;</w:t>
            </w:r>
          </w:p>
          <w:p w:rsidR="00D06682" w:rsidRPr="00255ADE" w:rsidRDefault="00D06682" w:rsidP="008C05FE">
            <w:pPr>
              <w:spacing w:after="0" w:line="240" w:lineRule="auto"/>
              <w:ind w:firstLine="59"/>
              <w:jc w:val="both"/>
              <w:rPr>
                <w:rFonts w:ascii="Times New Roman" w:hAnsi="Times New Roman"/>
                <w:bCs/>
                <w:sz w:val="24"/>
                <w:szCs w:val="24"/>
              </w:rPr>
            </w:pPr>
            <w:proofErr w:type="gramStart"/>
            <w:r w:rsidRPr="00EC6539">
              <w:rPr>
                <w:rFonts w:ascii="Times New Roman" w:hAnsi="Times New Roman" w:cs="Times New Roman"/>
                <w:bCs/>
                <w:sz w:val="24"/>
                <w:szCs w:val="24"/>
              </w:rPr>
              <w:t xml:space="preserve">- площадью </w:t>
            </w:r>
            <w:r w:rsidR="00E814D6" w:rsidRPr="00EC6539">
              <w:rPr>
                <w:rFonts w:ascii="Times New Roman" w:hAnsi="Times New Roman" w:cs="Times New Roman"/>
                <w:b/>
                <w:bCs/>
                <w:sz w:val="24"/>
                <w:szCs w:val="24"/>
              </w:rPr>
              <w:t>112</w:t>
            </w:r>
            <w:r w:rsidRPr="00EC6539">
              <w:rPr>
                <w:rFonts w:ascii="Times New Roman" w:hAnsi="Times New Roman" w:cs="Times New Roman"/>
                <w:b/>
                <w:bCs/>
                <w:sz w:val="24"/>
                <w:szCs w:val="24"/>
              </w:rPr>
              <w:t>,</w:t>
            </w:r>
            <w:r w:rsidR="00E814D6" w:rsidRPr="00EC6539">
              <w:rPr>
                <w:rFonts w:ascii="Times New Roman" w:hAnsi="Times New Roman" w:cs="Times New Roman"/>
                <w:b/>
                <w:bCs/>
                <w:sz w:val="24"/>
                <w:szCs w:val="24"/>
              </w:rPr>
              <w:t>5</w:t>
            </w:r>
            <w:r w:rsidRPr="00EC6539">
              <w:rPr>
                <w:rFonts w:ascii="Times New Roman" w:hAnsi="Times New Roman" w:cs="Times New Roman"/>
                <w:b/>
                <w:bCs/>
                <w:sz w:val="24"/>
                <w:szCs w:val="24"/>
              </w:rPr>
              <w:t>0 кв. м</w:t>
            </w:r>
            <w:r w:rsidRPr="00EC6539">
              <w:rPr>
                <w:rFonts w:ascii="Times New Roman" w:hAnsi="Times New Roman" w:cs="Times New Roman"/>
                <w:bCs/>
                <w:sz w:val="24"/>
                <w:szCs w:val="24"/>
              </w:rPr>
              <w:t xml:space="preserve"> (план помещения, подготовленный ФГУП «</w:t>
            </w:r>
            <w:proofErr w:type="spellStart"/>
            <w:r w:rsidRPr="00EC6539">
              <w:rPr>
                <w:rFonts w:ascii="Times New Roman" w:hAnsi="Times New Roman" w:cs="Times New Roman"/>
                <w:bCs/>
                <w:sz w:val="24"/>
                <w:szCs w:val="24"/>
              </w:rPr>
              <w:t>Ростехинвентаризация</w:t>
            </w:r>
            <w:proofErr w:type="spellEnd"/>
            <w:r w:rsidRPr="00EC6539">
              <w:rPr>
                <w:rFonts w:ascii="Times New Roman" w:hAnsi="Times New Roman" w:cs="Times New Roman"/>
                <w:bCs/>
                <w:sz w:val="24"/>
                <w:szCs w:val="24"/>
              </w:rPr>
              <w:t xml:space="preserve"> – Федеральное БТИ», по состоянию на </w:t>
            </w:r>
            <w:r w:rsidR="00E814D6" w:rsidRPr="00EC6539">
              <w:rPr>
                <w:rFonts w:ascii="Times New Roman" w:hAnsi="Times New Roman" w:cs="Times New Roman"/>
                <w:bCs/>
                <w:sz w:val="24"/>
                <w:szCs w:val="24"/>
              </w:rPr>
              <w:t xml:space="preserve">16.09.2008 </w:t>
            </w:r>
            <w:r w:rsidRPr="00EC6539">
              <w:rPr>
                <w:rFonts w:ascii="Times New Roman" w:hAnsi="Times New Roman" w:cs="Times New Roman"/>
                <w:bCs/>
                <w:sz w:val="24"/>
                <w:szCs w:val="24"/>
              </w:rPr>
              <w:t xml:space="preserve">– Приложение № </w:t>
            </w:r>
            <w:r w:rsidR="00EC6539" w:rsidRPr="00EC6539">
              <w:rPr>
                <w:rFonts w:ascii="Times New Roman" w:hAnsi="Times New Roman" w:cs="Times New Roman"/>
                <w:bCs/>
                <w:sz w:val="24"/>
                <w:szCs w:val="24"/>
              </w:rPr>
              <w:t>5.2</w:t>
            </w:r>
            <w:r w:rsidRPr="00EC6539">
              <w:rPr>
                <w:rFonts w:ascii="Times New Roman" w:hAnsi="Times New Roman" w:cs="Times New Roman"/>
                <w:bCs/>
                <w:sz w:val="24"/>
                <w:szCs w:val="24"/>
              </w:rPr>
              <w:t xml:space="preserve"> к </w:t>
            </w:r>
            <w:r w:rsidR="00EC6539" w:rsidRPr="00EC6539">
              <w:rPr>
                <w:rFonts w:ascii="Times New Roman" w:hAnsi="Times New Roman" w:cs="Times New Roman"/>
                <w:sz w:val="24"/>
                <w:szCs w:val="24"/>
              </w:rPr>
              <w:t>документации об электронном аукционе</w:t>
            </w:r>
            <w:r w:rsidRPr="00EC6539">
              <w:rPr>
                <w:rFonts w:ascii="Times New Roman" w:hAnsi="Times New Roman" w:cs="Times New Roman"/>
                <w:bCs/>
                <w:sz w:val="24"/>
                <w:szCs w:val="24"/>
              </w:rPr>
              <w:t xml:space="preserve">) – ЗСГО № </w:t>
            </w:r>
            <w:r w:rsidR="00E814D6" w:rsidRPr="00EC6539">
              <w:rPr>
                <w:rFonts w:ascii="Times New Roman" w:hAnsi="Times New Roman" w:cs="Times New Roman"/>
                <w:bCs/>
                <w:sz w:val="24"/>
                <w:szCs w:val="24"/>
              </w:rPr>
              <w:t>0754</w:t>
            </w:r>
            <w:r w:rsidRPr="00EC6539">
              <w:rPr>
                <w:rFonts w:ascii="Times New Roman" w:hAnsi="Times New Roman" w:cs="Times New Roman"/>
                <w:bCs/>
                <w:sz w:val="24"/>
                <w:szCs w:val="24"/>
              </w:rPr>
              <w:t>-55, расположенн</w:t>
            </w:r>
            <w:r w:rsidR="00F33987" w:rsidRPr="00EC6539">
              <w:rPr>
                <w:rFonts w:ascii="Times New Roman" w:hAnsi="Times New Roman" w:cs="Times New Roman"/>
                <w:bCs/>
                <w:sz w:val="24"/>
                <w:szCs w:val="24"/>
              </w:rPr>
              <w:t>ы</w:t>
            </w:r>
            <w:r w:rsidRPr="00EC6539">
              <w:rPr>
                <w:rFonts w:ascii="Times New Roman" w:hAnsi="Times New Roman" w:cs="Times New Roman"/>
                <w:bCs/>
                <w:sz w:val="24"/>
                <w:szCs w:val="24"/>
              </w:rPr>
              <w:t>е в подвале многоквартирного дома по адресу:</w:t>
            </w:r>
            <w:r w:rsidR="008C05FE">
              <w:rPr>
                <w:rFonts w:ascii="Times New Roman" w:hAnsi="Times New Roman" w:cs="Times New Roman"/>
                <w:bCs/>
                <w:sz w:val="24"/>
                <w:szCs w:val="24"/>
              </w:rPr>
              <w:t xml:space="preserve"> </w:t>
            </w:r>
            <w:r w:rsidRPr="00EC6539">
              <w:rPr>
                <w:rFonts w:ascii="Times New Roman" w:hAnsi="Times New Roman" w:cs="Times New Roman"/>
                <w:bCs/>
                <w:sz w:val="24"/>
                <w:szCs w:val="24"/>
              </w:rPr>
              <w:t>г.</w:t>
            </w:r>
            <w:r w:rsidR="008C05FE">
              <w:rPr>
                <w:rFonts w:ascii="Times New Roman" w:hAnsi="Times New Roman" w:cs="Times New Roman"/>
                <w:bCs/>
                <w:sz w:val="24"/>
                <w:szCs w:val="24"/>
              </w:rPr>
              <w:t xml:space="preserve"> </w:t>
            </w:r>
            <w:r w:rsidRPr="00EC6539">
              <w:rPr>
                <w:rFonts w:ascii="Times New Roman" w:hAnsi="Times New Roman" w:cs="Times New Roman"/>
                <w:bCs/>
                <w:sz w:val="24"/>
                <w:szCs w:val="24"/>
              </w:rPr>
              <w:t>Новосибирск</w:t>
            </w:r>
            <w:r w:rsidR="00A730EF" w:rsidRPr="00EC6539">
              <w:rPr>
                <w:rFonts w:ascii="Times New Roman" w:hAnsi="Times New Roman" w:cs="Times New Roman"/>
                <w:bCs/>
                <w:sz w:val="24"/>
                <w:szCs w:val="24"/>
              </w:rPr>
              <w:t>,</w:t>
            </w:r>
            <w:r w:rsidR="008C05FE">
              <w:rPr>
                <w:rFonts w:ascii="Times New Roman" w:hAnsi="Times New Roman" w:cs="Times New Roman"/>
                <w:bCs/>
                <w:sz w:val="24"/>
                <w:szCs w:val="24"/>
              </w:rPr>
              <w:t xml:space="preserve"> </w:t>
            </w:r>
            <w:r w:rsidR="00E814D6">
              <w:rPr>
                <w:rFonts w:ascii="Times New Roman" w:hAnsi="Times New Roman"/>
                <w:bCs/>
                <w:sz w:val="24"/>
                <w:szCs w:val="24"/>
              </w:rPr>
              <w:t>ул. Сибиряков-Гвардейцев</w:t>
            </w:r>
            <w:r>
              <w:rPr>
                <w:rFonts w:ascii="Times New Roman" w:hAnsi="Times New Roman"/>
                <w:bCs/>
                <w:sz w:val="24"/>
                <w:szCs w:val="24"/>
              </w:rPr>
              <w:t xml:space="preserve">, </w:t>
            </w:r>
            <w:r w:rsidR="00E814D6">
              <w:rPr>
                <w:rFonts w:ascii="Times New Roman" w:hAnsi="Times New Roman"/>
                <w:bCs/>
                <w:sz w:val="24"/>
                <w:szCs w:val="24"/>
              </w:rPr>
              <w:t>15</w:t>
            </w:r>
            <w:r>
              <w:rPr>
                <w:rFonts w:ascii="Times New Roman" w:hAnsi="Times New Roman"/>
                <w:bCs/>
                <w:sz w:val="24"/>
                <w:szCs w:val="24"/>
              </w:rPr>
              <w:t xml:space="preserve"> (далее – Объект)</w:t>
            </w:r>
            <w:r w:rsidR="008C05FE">
              <w:rPr>
                <w:rFonts w:ascii="Times New Roman" w:hAnsi="Times New Roman"/>
                <w:bCs/>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F33987" w:rsidP="00EC6539">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 xml:space="preserve">Перечень и объем работ в соответствии </w:t>
            </w:r>
            <w:r w:rsidRPr="00CD532F">
              <w:rPr>
                <w:rFonts w:ascii="Times New Roman" w:hAnsi="Times New Roman" w:cs="Times New Roman"/>
                <w:sz w:val="24"/>
                <w:szCs w:val="24"/>
              </w:rPr>
              <w:t xml:space="preserve">с </w:t>
            </w:r>
            <w:r>
              <w:rPr>
                <w:rFonts w:ascii="Times New Roman" w:hAnsi="Times New Roman" w:cs="Times New Roman"/>
                <w:sz w:val="24"/>
                <w:szCs w:val="24"/>
              </w:rPr>
              <w:t>Дефектными ведомостями</w:t>
            </w:r>
            <w:r>
              <w:rPr>
                <w:szCs w:val="24"/>
              </w:rPr>
              <w:t xml:space="preserve"> </w:t>
            </w:r>
            <w:r w:rsidRPr="00CD532F">
              <w:rPr>
                <w:rFonts w:ascii="Times New Roman" w:hAnsi="Times New Roman" w:cs="Times New Roman"/>
                <w:sz w:val="24"/>
                <w:szCs w:val="24"/>
              </w:rPr>
              <w:t>(</w:t>
            </w:r>
            <w:r w:rsidRPr="00270C26">
              <w:rPr>
                <w:rFonts w:ascii="Times New Roman" w:hAnsi="Times New Roman" w:cs="Times New Roman"/>
                <w:sz w:val="24"/>
                <w:szCs w:val="24"/>
              </w:rPr>
              <w:t xml:space="preserve">Приложения № </w:t>
            </w:r>
            <w:r w:rsidR="00EC6539">
              <w:rPr>
                <w:rFonts w:ascii="Times New Roman" w:hAnsi="Times New Roman" w:cs="Times New Roman"/>
                <w:sz w:val="24"/>
                <w:szCs w:val="24"/>
              </w:rPr>
              <w:t>3.1</w:t>
            </w:r>
            <w:r>
              <w:rPr>
                <w:rFonts w:ascii="Times New Roman" w:hAnsi="Times New Roman" w:cs="Times New Roman"/>
                <w:sz w:val="24"/>
                <w:szCs w:val="24"/>
              </w:rPr>
              <w:t>,</w:t>
            </w:r>
            <w:r w:rsidRPr="00270C26">
              <w:rPr>
                <w:rFonts w:ascii="Times New Roman" w:hAnsi="Times New Roman" w:cs="Times New Roman"/>
                <w:sz w:val="24"/>
                <w:szCs w:val="24"/>
              </w:rPr>
              <w:t xml:space="preserve"> №</w:t>
            </w:r>
            <w:r>
              <w:rPr>
                <w:rFonts w:ascii="Times New Roman" w:hAnsi="Times New Roman" w:cs="Times New Roman"/>
                <w:sz w:val="24"/>
                <w:szCs w:val="24"/>
              </w:rPr>
              <w:t> </w:t>
            </w:r>
            <w:r w:rsidR="00EC6539">
              <w:rPr>
                <w:rFonts w:ascii="Times New Roman" w:hAnsi="Times New Roman" w:cs="Times New Roman"/>
                <w:sz w:val="24"/>
                <w:szCs w:val="24"/>
              </w:rPr>
              <w:t>3.2</w:t>
            </w:r>
            <w:r>
              <w:rPr>
                <w:rFonts w:ascii="Times New Roman" w:hAnsi="Times New Roman" w:cs="Times New Roman"/>
                <w:sz w:val="24"/>
                <w:szCs w:val="24"/>
              </w:rPr>
              <w:t xml:space="preserve"> </w:t>
            </w:r>
            <w:r w:rsidRPr="00270C26">
              <w:rPr>
                <w:rFonts w:ascii="Times New Roman" w:hAnsi="Times New Roman" w:cs="Times New Roman"/>
                <w:sz w:val="24"/>
                <w:szCs w:val="24"/>
              </w:rPr>
              <w:t xml:space="preserve">к </w:t>
            </w:r>
            <w:r w:rsidR="00EC6539" w:rsidRPr="00EC6539">
              <w:rPr>
                <w:rFonts w:ascii="Times New Roman" w:hAnsi="Times New Roman" w:cs="Times New Roman"/>
                <w:sz w:val="24"/>
                <w:szCs w:val="24"/>
              </w:rPr>
              <w:t>документации об электронном аукционе</w:t>
            </w:r>
            <w:r w:rsidRPr="00EC6539">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C45B4">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F33987" w:rsidP="00A9208C">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A9208C" w:rsidRPr="00A9208C">
              <w:rPr>
                <w:rFonts w:ascii="Times New Roman" w:hAnsi="Times New Roman"/>
                <w:sz w:val="24"/>
                <w:szCs w:val="24"/>
              </w:rPr>
              <w:t>60</w:t>
            </w:r>
            <w:r w:rsidRPr="00E07CCD">
              <w:rPr>
                <w:rFonts w:ascii="Times New Roman" w:hAnsi="Times New Roman"/>
                <w:sz w:val="24"/>
                <w:szCs w:val="24"/>
              </w:rPr>
              <w:t xml:space="preserve"> (</w:t>
            </w:r>
            <w:r w:rsidR="00A9208C" w:rsidRPr="00A9208C">
              <w:rPr>
                <w:rFonts w:ascii="Times New Roman" w:hAnsi="Times New Roman"/>
                <w:sz w:val="24"/>
                <w:szCs w:val="24"/>
              </w:rPr>
              <w:t>Шестидесяти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Pr>
                <w:rFonts w:ascii="Times New Roman" w:hAnsi="Times New Roman"/>
                <w:sz w:val="24"/>
                <w:szCs w:val="24"/>
              </w:rPr>
              <w:t xml:space="preserve">рных дней с </w:t>
            </w:r>
            <w:r w:rsidRPr="0029016D">
              <w:rPr>
                <w:rFonts w:ascii="Times New Roman" w:hAnsi="Times New Roman"/>
                <w:sz w:val="24"/>
                <w:szCs w:val="24"/>
              </w:rPr>
              <w:t>момента</w:t>
            </w:r>
            <w:r>
              <w:rPr>
                <w:rFonts w:ascii="Times New Roman" w:hAnsi="Times New Roman"/>
                <w:sz w:val="24"/>
                <w:szCs w:val="24"/>
              </w:rPr>
              <w:t xml:space="preserve"> заключения 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sidR="004519E8">
              <w:rPr>
                <w:rFonts w:ascii="Times New Roman" w:hAnsi="Times New Roman"/>
                <w:sz w:val="24"/>
                <w:szCs w:val="24"/>
              </w:rPr>
              <w:t>межкомнатных дверей</w:t>
            </w:r>
            <w:r>
              <w:rPr>
                <w:rFonts w:ascii="Times New Roman" w:hAnsi="Times New Roman"/>
                <w:sz w:val="24"/>
                <w:szCs w:val="24"/>
              </w:rPr>
              <w:t>;</w:t>
            </w:r>
          </w:p>
          <w:p w:rsidR="001F0327" w:rsidRDefault="004519E8" w:rsidP="00622633">
            <w:pPr>
              <w:spacing w:after="0" w:line="240" w:lineRule="auto"/>
              <w:ind w:firstLine="768"/>
              <w:jc w:val="both"/>
              <w:rPr>
                <w:rFonts w:ascii="Times New Roman" w:hAnsi="Times New Roman"/>
                <w:sz w:val="24"/>
                <w:szCs w:val="24"/>
              </w:rPr>
            </w:pPr>
            <w:r>
              <w:rPr>
                <w:rFonts w:ascii="Times New Roman" w:hAnsi="Times New Roman"/>
                <w:sz w:val="24"/>
                <w:szCs w:val="24"/>
              </w:rPr>
              <w:t>4</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4519E8"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4519E8"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sidR="00227747">
              <w:rPr>
                <w:rFonts w:ascii="Times New Roman" w:hAnsi="Times New Roman"/>
                <w:sz w:val="24"/>
                <w:szCs w:val="24"/>
              </w:rPr>
              <w:t>;</w:t>
            </w:r>
          </w:p>
          <w:p w:rsidR="00C94F9E" w:rsidRDefault="004519E8"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lastRenderedPageBreak/>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41F33">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 xml:space="preserve">риказом Минэнерго </w:t>
            </w:r>
            <w:proofErr w:type="spellStart"/>
            <w:r w:rsidR="00474AFE">
              <w:rPr>
                <w:rFonts w:ascii="Times New Roman" w:hAnsi="Times New Roman" w:cs="Times New Roman"/>
                <w:sz w:val="24"/>
                <w:szCs w:val="24"/>
              </w:rPr>
              <w:t>Россииот</w:t>
            </w:r>
            <w:proofErr w:type="spellEnd"/>
            <w:r w:rsidR="00474AFE">
              <w:rPr>
                <w:rFonts w:ascii="Times New Roman" w:hAnsi="Times New Roman" w:cs="Times New Roman"/>
                <w:sz w:val="24"/>
                <w:szCs w:val="24"/>
              </w:rPr>
              <w:t xml:space="preserve">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622633">
            <w:pPr>
              <w:spacing w:after="0" w:line="240" w:lineRule="auto"/>
              <w:ind w:firstLine="768"/>
              <w:jc w:val="both"/>
              <w:rPr>
                <w:rFonts w:ascii="Times New Roman" w:hAnsi="Times New Roman"/>
                <w:sz w:val="24"/>
                <w:szCs w:val="24"/>
              </w:rPr>
            </w:pPr>
            <w:proofErr w:type="spellStart"/>
            <w:r w:rsidRPr="000B600C">
              <w:rPr>
                <w:rFonts w:ascii="Times New Roman" w:hAnsi="Times New Roman"/>
                <w:sz w:val="24"/>
                <w:szCs w:val="24"/>
              </w:rPr>
              <w:t>СНиП</w:t>
            </w:r>
            <w:proofErr w:type="spellEnd"/>
            <w:r w:rsidRPr="000B600C">
              <w:rPr>
                <w:rFonts w:ascii="Times New Roman" w:hAnsi="Times New Roman"/>
                <w:sz w:val="24"/>
                <w:szCs w:val="24"/>
              </w:rPr>
              <w:t xml:space="preserve">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 xml:space="preserve">образовавшихся в процессе производства строительно-монтажных </w:t>
            </w:r>
            <w:proofErr w:type="spellStart"/>
            <w:r w:rsidR="00515B6B">
              <w:rPr>
                <w:rFonts w:ascii="Times New Roman" w:hAnsi="Times New Roman"/>
                <w:sz w:val="24"/>
                <w:szCs w:val="24"/>
              </w:rPr>
              <w:t>работ</w:t>
            </w:r>
            <w:r w:rsidR="007D0B00" w:rsidRPr="00C82A29">
              <w:rPr>
                <w:rFonts w:ascii="Times New Roman" w:hAnsi="Times New Roman"/>
                <w:sz w:val="24"/>
                <w:szCs w:val="24"/>
              </w:rPr>
              <w:t>на</w:t>
            </w:r>
            <w:proofErr w:type="spellEnd"/>
            <w:r w:rsidR="007D0B00" w:rsidRPr="00C82A29">
              <w:rPr>
                <w:rFonts w:ascii="Times New Roman" w:hAnsi="Times New Roman"/>
                <w:sz w:val="24"/>
                <w:szCs w:val="24"/>
              </w:rPr>
              <w:t xml:space="preserve"> строительной площадке и на прилегающей к зданию территории. Подрядчик по требованию Заказчика обязан </w:t>
            </w:r>
            <w:proofErr w:type="gramStart"/>
            <w:r w:rsidR="007D0B00" w:rsidRPr="00C82A29">
              <w:rPr>
                <w:rFonts w:ascii="Times New Roman" w:hAnsi="Times New Roman"/>
                <w:sz w:val="24"/>
                <w:szCs w:val="24"/>
              </w:rPr>
              <w:t>предоставить документы</w:t>
            </w:r>
            <w:proofErr w:type="gramEnd"/>
            <w:r w:rsidR="007D0B00" w:rsidRPr="00C82A29">
              <w:rPr>
                <w:rFonts w:ascii="Times New Roman" w:hAnsi="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w:t>
            </w:r>
            <w:proofErr w:type="gramStart"/>
            <w:r w:rsidRPr="00191F88">
              <w:rPr>
                <w:rFonts w:ascii="Times New Roman" w:hAnsi="Times New Roman"/>
                <w:bCs/>
                <w:iCs/>
                <w:sz w:val="24"/>
                <w:szCs w:val="24"/>
              </w:rPr>
              <w:t>,</w:t>
            </w:r>
            <w:proofErr w:type="gramEnd"/>
            <w:r w:rsidRPr="00191F88">
              <w:rPr>
                <w:rFonts w:ascii="Times New Roman" w:hAnsi="Times New Roman"/>
                <w:bCs/>
                <w:iCs/>
                <w:sz w:val="24"/>
                <w:szCs w:val="24"/>
              </w:rPr>
              <w:t xml:space="preserve">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w:t>
            </w:r>
            <w:r w:rsidR="008F233F" w:rsidRPr="008F233F">
              <w:rPr>
                <w:rFonts w:ascii="Times New Roman" w:hAnsi="Times New Roman"/>
                <w:bCs/>
                <w:iCs/>
                <w:sz w:val="24"/>
                <w:szCs w:val="24"/>
              </w:rPr>
              <w:t xml:space="preserve">№ </w:t>
            </w:r>
            <w:r>
              <w:rPr>
                <w:rFonts w:ascii="Times New Roman" w:hAnsi="Times New Roman"/>
                <w:bCs/>
                <w:iCs/>
                <w:sz w:val="24"/>
                <w:szCs w:val="24"/>
              </w:rPr>
              <w:t>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C6539">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lastRenderedPageBreak/>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а, путем перечисления Заказчиком денежных средств на расче</w:t>
            </w:r>
            <w:r w:rsidR="00EC6539">
              <w:rPr>
                <w:rFonts w:ascii="Times New Roman" w:hAnsi="Times New Roman"/>
                <w:bCs/>
                <w:iCs/>
                <w:sz w:val="24"/>
                <w:szCs w:val="24"/>
              </w:rPr>
              <w:t>тный счет Подрядчика в течение 10</w:t>
            </w:r>
            <w:r w:rsidRPr="00A848E2">
              <w:rPr>
                <w:rFonts w:ascii="Times New Roman" w:hAnsi="Times New Roman"/>
                <w:bCs/>
                <w:iCs/>
                <w:sz w:val="24"/>
                <w:szCs w:val="24"/>
              </w:rPr>
              <w:t xml:space="preserve">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15A2" w:rsidRPr="007D15A2" w:rsidRDefault="00620583" w:rsidP="00A049C1">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D15A2" w:rsidRPr="007D15A2">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C82A29" w:rsidRDefault="00260724" w:rsidP="00EC4B13">
            <w:pPr>
              <w:pStyle w:val="3"/>
              <w:numPr>
                <w:ilvl w:val="2"/>
                <w:numId w:val="0"/>
              </w:numPr>
              <w:ind w:left="1814" w:hanging="1560"/>
              <w:jc w:val="left"/>
              <w:rPr>
                <w:szCs w:val="24"/>
              </w:rPr>
            </w:pP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87" w:rsidRDefault="00F33987" w:rsidP="0084418E">
      <w:pPr>
        <w:spacing w:after="0" w:line="240" w:lineRule="auto"/>
      </w:pPr>
      <w:r>
        <w:separator/>
      </w:r>
    </w:p>
  </w:endnote>
  <w:endnote w:type="continuationSeparator" w:id="1">
    <w:p w:rsidR="00F33987" w:rsidRDefault="00F33987"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87" w:rsidRDefault="0023021D" w:rsidP="00C82A29">
    <w:pPr>
      <w:pStyle w:val="a6"/>
      <w:framePr w:wrap="around" w:vAnchor="text" w:hAnchor="margin" w:xAlign="right" w:y="1"/>
      <w:rPr>
        <w:rStyle w:val="a5"/>
      </w:rPr>
    </w:pPr>
    <w:r>
      <w:rPr>
        <w:rStyle w:val="a5"/>
      </w:rPr>
      <w:fldChar w:fldCharType="begin"/>
    </w:r>
    <w:r w:rsidR="00F33987">
      <w:rPr>
        <w:rStyle w:val="a5"/>
      </w:rPr>
      <w:instrText xml:space="preserve">PAGE  </w:instrText>
    </w:r>
    <w:r>
      <w:rPr>
        <w:rStyle w:val="a5"/>
      </w:rPr>
      <w:fldChar w:fldCharType="end"/>
    </w:r>
  </w:p>
  <w:p w:rsidR="00F33987" w:rsidRDefault="00F3398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87" w:rsidRDefault="00F33987"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87" w:rsidRDefault="00F33987" w:rsidP="0084418E">
      <w:pPr>
        <w:spacing w:after="0" w:line="240" w:lineRule="auto"/>
      </w:pPr>
      <w:r>
        <w:separator/>
      </w:r>
    </w:p>
  </w:footnote>
  <w:footnote w:type="continuationSeparator" w:id="1">
    <w:p w:rsidR="00F33987" w:rsidRDefault="00F33987"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87" w:rsidRDefault="0023021D" w:rsidP="00C82A29">
    <w:pPr>
      <w:pStyle w:val="a3"/>
      <w:framePr w:wrap="around" w:vAnchor="text" w:hAnchor="margin" w:xAlign="center" w:y="1"/>
      <w:rPr>
        <w:rStyle w:val="a5"/>
      </w:rPr>
    </w:pPr>
    <w:r>
      <w:rPr>
        <w:rStyle w:val="a5"/>
      </w:rPr>
      <w:fldChar w:fldCharType="begin"/>
    </w:r>
    <w:r w:rsidR="00F33987">
      <w:rPr>
        <w:rStyle w:val="a5"/>
      </w:rPr>
      <w:instrText xml:space="preserve">PAGE  </w:instrText>
    </w:r>
    <w:r>
      <w:rPr>
        <w:rStyle w:val="a5"/>
      </w:rPr>
      <w:fldChar w:fldCharType="separate"/>
    </w:r>
    <w:r w:rsidR="00F33987">
      <w:rPr>
        <w:rStyle w:val="a5"/>
      </w:rPr>
      <w:t>1</w:t>
    </w:r>
    <w:r>
      <w:rPr>
        <w:rStyle w:val="a5"/>
      </w:rPr>
      <w:fldChar w:fldCharType="end"/>
    </w:r>
  </w:p>
  <w:p w:rsidR="00F33987" w:rsidRDefault="00F339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3D78"/>
    <w:rsid w:val="001E6F5C"/>
    <w:rsid w:val="001F0327"/>
    <w:rsid w:val="001F6F60"/>
    <w:rsid w:val="001F704F"/>
    <w:rsid w:val="00202E2C"/>
    <w:rsid w:val="00204BD0"/>
    <w:rsid w:val="002068FA"/>
    <w:rsid w:val="002163CA"/>
    <w:rsid w:val="002243FA"/>
    <w:rsid w:val="00227747"/>
    <w:rsid w:val="0023021D"/>
    <w:rsid w:val="0023156C"/>
    <w:rsid w:val="002476F9"/>
    <w:rsid w:val="00255ADE"/>
    <w:rsid w:val="00260724"/>
    <w:rsid w:val="00265F23"/>
    <w:rsid w:val="00270C26"/>
    <w:rsid w:val="00282318"/>
    <w:rsid w:val="0029016D"/>
    <w:rsid w:val="0029357A"/>
    <w:rsid w:val="002A445F"/>
    <w:rsid w:val="002C0D80"/>
    <w:rsid w:val="002C3090"/>
    <w:rsid w:val="002D04AB"/>
    <w:rsid w:val="002D3D31"/>
    <w:rsid w:val="002D4650"/>
    <w:rsid w:val="002D52E3"/>
    <w:rsid w:val="002F0F42"/>
    <w:rsid w:val="00302575"/>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7C03"/>
    <w:rsid w:val="00425D37"/>
    <w:rsid w:val="00433294"/>
    <w:rsid w:val="00441F33"/>
    <w:rsid w:val="004519E8"/>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A5A52"/>
    <w:rsid w:val="007B36EF"/>
    <w:rsid w:val="007D09AD"/>
    <w:rsid w:val="007D0B00"/>
    <w:rsid w:val="007D15A2"/>
    <w:rsid w:val="007D29E3"/>
    <w:rsid w:val="007F77F3"/>
    <w:rsid w:val="008116A2"/>
    <w:rsid w:val="0084418E"/>
    <w:rsid w:val="00853AB0"/>
    <w:rsid w:val="0085594E"/>
    <w:rsid w:val="0086095E"/>
    <w:rsid w:val="00871360"/>
    <w:rsid w:val="008717B8"/>
    <w:rsid w:val="00882039"/>
    <w:rsid w:val="00883694"/>
    <w:rsid w:val="008A2A1B"/>
    <w:rsid w:val="008A7201"/>
    <w:rsid w:val="008B349A"/>
    <w:rsid w:val="008C05FE"/>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C35C5"/>
    <w:rsid w:val="009F01EB"/>
    <w:rsid w:val="00A049C1"/>
    <w:rsid w:val="00A273FA"/>
    <w:rsid w:val="00A27ED9"/>
    <w:rsid w:val="00A313C8"/>
    <w:rsid w:val="00A531A8"/>
    <w:rsid w:val="00A567CC"/>
    <w:rsid w:val="00A730EF"/>
    <w:rsid w:val="00A848E2"/>
    <w:rsid w:val="00A9208C"/>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2CFB"/>
    <w:rsid w:val="00B9749B"/>
    <w:rsid w:val="00BB3090"/>
    <w:rsid w:val="00BB74C1"/>
    <w:rsid w:val="00BD18EB"/>
    <w:rsid w:val="00BF1D7E"/>
    <w:rsid w:val="00BF41B6"/>
    <w:rsid w:val="00BF4433"/>
    <w:rsid w:val="00C05E8C"/>
    <w:rsid w:val="00C10D2C"/>
    <w:rsid w:val="00C127BB"/>
    <w:rsid w:val="00C215A9"/>
    <w:rsid w:val="00C22ED3"/>
    <w:rsid w:val="00C41252"/>
    <w:rsid w:val="00C4196C"/>
    <w:rsid w:val="00C47B21"/>
    <w:rsid w:val="00C82A29"/>
    <w:rsid w:val="00C869FA"/>
    <w:rsid w:val="00C94F9E"/>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814D6"/>
    <w:rsid w:val="00E92D63"/>
    <w:rsid w:val="00EA303C"/>
    <w:rsid w:val="00EA77AB"/>
    <w:rsid w:val="00EA7934"/>
    <w:rsid w:val="00EB3B4B"/>
    <w:rsid w:val="00EB5A87"/>
    <w:rsid w:val="00EB5F5D"/>
    <w:rsid w:val="00EC30E4"/>
    <w:rsid w:val="00EC38AF"/>
    <w:rsid w:val="00EC45B4"/>
    <w:rsid w:val="00EC4B13"/>
    <w:rsid w:val="00EC6539"/>
    <w:rsid w:val="00EC74B5"/>
    <w:rsid w:val="00ED1D01"/>
    <w:rsid w:val="00EE4488"/>
    <w:rsid w:val="00EE7CD6"/>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C875-E1FA-4C84-BBF6-1CD344D4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2021-06-15T08:25:00Z</cp:lastPrinted>
  <dcterms:created xsi:type="dcterms:W3CDTF">2021-04-19T08:16:00Z</dcterms:created>
  <dcterms:modified xsi:type="dcterms:W3CDTF">2021-06-15T08:32:00Z</dcterms:modified>
</cp:coreProperties>
</file>