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87" w:rsidRPr="00B702D1" w:rsidRDefault="00500187" w:rsidP="005001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500187" w:rsidRDefault="00500187" w:rsidP="005001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документации об аукционе в электронной форме </w:t>
      </w:r>
    </w:p>
    <w:p w:rsidR="00C82A29" w:rsidRPr="00C82A29" w:rsidRDefault="00C82A29" w:rsidP="00C82A2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2A29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A29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Default="00C82A29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AE7D86" w:rsidRPr="00C82A29" w:rsidRDefault="00AE7D86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C82A29" w:rsidRPr="00C82A29" w:rsidRDefault="00C82A29" w:rsidP="00246D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246D75">
              <w:rPr>
                <w:rFonts w:ascii="Times New Roman" w:hAnsi="Times New Roman"/>
                <w:bCs/>
                <w:sz w:val="24"/>
                <w:szCs w:val="24"/>
              </w:rPr>
              <w:t>строительно-монтажных работ</w:t>
            </w:r>
            <w:r w:rsidRPr="00C82A29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246D75">
              <w:rPr>
                <w:rFonts w:ascii="Times New Roman" w:hAnsi="Times New Roman"/>
                <w:bCs/>
                <w:sz w:val="24"/>
                <w:szCs w:val="24"/>
              </w:rPr>
              <w:t>уплотнению</w:t>
            </w:r>
            <w:r w:rsidR="00670CF5">
              <w:rPr>
                <w:rFonts w:ascii="Times New Roman" w:hAnsi="Times New Roman"/>
                <w:bCs/>
                <w:sz w:val="24"/>
                <w:szCs w:val="24"/>
              </w:rPr>
              <w:t xml:space="preserve"> грунтов </w:t>
            </w:r>
            <w:r w:rsidR="00246D75">
              <w:rPr>
                <w:rFonts w:ascii="Times New Roman" w:hAnsi="Times New Roman"/>
                <w:bCs/>
                <w:sz w:val="24"/>
                <w:szCs w:val="24"/>
              </w:rPr>
              <w:t>методом высоконапорной инъекции на объектах: «г. Новосибирск, проспект Дзержинского, 69/2, здание ремонтного цеха № 48», «Здание склада по адресу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: г. Новосибирск</w:t>
            </w:r>
            <w:r w:rsidR="00B733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46D75">
              <w:rPr>
                <w:rFonts w:ascii="Times New Roman" w:hAnsi="Times New Roman"/>
                <w:bCs/>
                <w:sz w:val="24"/>
                <w:szCs w:val="24"/>
              </w:rPr>
              <w:t>проспект Дзержинского, 69/2»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  <w:tab w:val="left" w:pos="2752"/>
                <w:tab w:val="left" w:pos="289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C82A29" w:rsidRPr="00C82A29" w:rsidRDefault="00C82A29" w:rsidP="003757E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Виды и объемы работ в соответствии с Приложени</w:t>
            </w:r>
            <w:r w:rsidR="003757EA">
              <w:rPr>
                <w:rFonts w:ascii="Times New Roman" w:hAnsi="Times New Roman"/>
                <w:sz w:val="24"/>
                <w:szCs w:val="24"/>
              </w:rPr>
              <w:t>ем</w:t>
            </w:r>
            <w:r w:rsidR="007D0B00">
              <w:rPr>
                <w:rFonts w:ascii="Times New Roman" w:hAnsi="Times New Roman"/>
                <w:sz w:val="24"/>
                <w:szCs w:val="24"/>
              </w:rPr>
              <w:t>№</w:t>
            </w:r>
            <w:r w:rsidR="00312D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16CC6">
              <w:rPr>
                <w:rFonts w:ascii="Times New Roman" w:hAnsi="Times New Roman"/>
                <w:sz w:val="24"/>
                <w:szCs w:val="24"/>
              </w:rPr>
              <w:t>,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3EC2" w:rsidRPr="00C82A29">
              <w:rPr>
                <w:rFonts w:ascii="Times New Roman" w:hAnsi="Times New Roman"/>
                <w:sz w:val="24"/>
                <w:szCs w:val="24"/>
              </w:rPr>
              <w:t>Локальны</w:t>
            </w:r>
            <w:r w:rsidR="00E23EC2">
              <w:rPr>
                <w:rFonts w:ascii="Times New Roman" w:hAnsi="Times New Roman"/>
                <w:sz w:val="24"/>
                <w:szCs w:val="24"/>
              </w:rPr>
              <w:t>й сметный расчет №1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)</w:t>
            </w:r>
            <w:r w:rsidR="007D0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6CC6">
              <w:rPr>
                <w:rFonts w:ascii="Times New Roman" w:hAnsi="Times New Roman"/>
                <w:sz w:val="24"/>
                <w:szCs w:val="24"/>
              </w:rPr>
              <w:t xml:space="preserve">Приложением 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25EC4">
              <w:rPr>
                <w:rFonts w:ascii="Times New Roman" w:hAnsi="Times New Roman"/>
                <w:sz w:val="24"/>
                <w:szCs w:val="24"/>
              </w:rPr>
              <w:t>3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3EC2" w:rsidRPr="00C82A29"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  <w:r w:rsidR="007132F9">
              <w:rPr>
                <w:rFonts w:ascii="Times New Roman" w:hAnsi="Times New Roman"/>
                <w:sz w:val="24"/>
                <w:szCs w:val="24"/>
              </w:rPr>
              <w:t>),</w:t>
            </w:r>
            <w:r w:rsidR="0050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DF4" w:rsidRPr="00312DF4">
              <w:rPr>
                <w:rFonts w:ascii="Times New Roman" w:hAnsi="Times New Roman"/>
                <w:sz w:val="24"/>
                <w:szCs w:val="24"/>
              </w:rPr>
              <w:t>рабочей документацией №</w:t>
            </w:r>
            <w:r w:rsidR="00B16CC6">
              <w:rPr>
                <w:rFonts w:ascii="Times New Roman" w:hAnsi="Times New Roman"/>
                <w:sz w:val="24"/>
                <w:szCs w:val="24"/>
              </w:rPr>
              <w:t xml:space="preserve"> 14-2018-УОФ (ООО «АСМ Тимушкина»), №№ 36.02.19-УОФ, 36.02.19-УОФ-ПЗ (ООО «АНДЕРГРАУНД») </w:t>
            </w:r>
            <w:r w:rsidR="00500187">
              <w:rPr>
                <w:rFonts w:ascii="Times New Roman" w:hAnsi="Times New Roman"/>
                <w:sz w:val="24"/>
                <w:szCs w:val="24"/>
              </w:rPr>
              <w:t>к аукционной документации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Pr="00C82A29" w:rsidRDefault="00B16CC6" w:rsidP="00B16C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Здание ремонтного цеха №48 – 1-2-этажное по адресу: г. Новосибирск, проспект Дзержинского, 69/2; Здание склада – 1-этажное с цокольным этажом по адресу: г. Новосибирск, проспект Дзержинского, 69/2.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Сроки (периоды)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Pr="00C82A29" w:rsidRDefault="00C82A29" w:rsidP="00D25E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строительно-монтажных работ – не позднее </w:t>
            </w:r>
            <w:r w:rsidR="008E6831">
              <w:rPr>
                <w:rFonts w:ascii="Times New Roman" w:hAnsi="Times New Roman"/>
                <w:sz w:val="24"/>
                <w:szCs w:val="24"/>
              </w:rPr>
              <w:t>3</w:t>
            </w:r>
            <w:r w:rsidR="00323ACD">
              <w:rPr>
                <w:rFonts w:ascii="Times New Roman" w:hAnsi="Times New Roman"/>
                <w:sz w:val="24"/>
                <w:szCs w:val="24"/>
              </w:rPr>
              <w:t>0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E6831">
              <w:rPr>
                <w:rFonts w:ascii="Times New Roman" w:hAnsi="Times New Roman"/>
                <w:sz w:val="24"/>
                <w:szCs w:val="24"/>
              </w:rPr>
              <w:t>тридцати</w:t>
            </w:r>
            <w:r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календа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рных дней с момента подписания </w:t>
            </w:r>
            <w:r w:rsidR="00D25EC4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Default="007D0B00" w:rsidP="00810D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</w:t>
            </w:r>
            <w:r w:rsidR="00631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каждому из 2 объектов отдельно:</w:t>
            </w:r>
            <w:r w:rsidR="00631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1. </w:t>
            </w:r>
            <w:r w:rsidR="0037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631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сполнительную схему </w:t>
            </w:r>
            <w:proofErr w:type="spellStart"/>
            <w:r w:rsidR="00631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инъектирования</w:t>
            </w:r>
            <w:proofErr w:type="spellEnd"/>
            <w:r w:rsidR="00631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319B0" w:rsidRDefault="006319B0" w:rsidP="0063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37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урнал инъекционных работ;</w:t>
            </w:r>
          </w:p>
          <w:p w:rsidR="006319B0" w:rsidRPr="003757EA" w:rsidRDefault="006319B0" w:rsidP="0063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37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 на скрытые работы.</w:t>
            </w:r>
          </w:p>
          <w:p w:rsidR="008B4B41" w:rsidRPr="008B4B41" w:rsidRDefault="008B4B41" w:rsidP="00375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7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ертификаты на изделия и материалы, используемые в процессе производства работ.</w:t>
            </w:r>
          </w:p>
        </w:tc>
      </w:tr>
      <w:tr w:rsidR="00D64AF7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D64AF7" w:rsidRPr="00C82A29" w:rsidRDefault="00A76936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Подрядчику</w:t>
            </w:r>
          </w:p>
        </w:tc>
      </w:tr>
      <w:tr w:rsidR="00A76936" w:rsidRPr="00C82A29" w:rsidTr="00A76936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A76936" w:rsidRPr="00C300EF" w:rsidRDefault="003757EA" w:rsidP="003757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A76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троительно-монтажные</w:t>
            </w:r>
            <w:r w:rsidR="00C30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по уплотнению грунтов методом высоконапорной инъекции на объектах, которые будут выполняться на основании проектов </w:t>
            </w:r>
            <w:r w:rsidR="00C300EF" w:rsidRPr="00312DF4">
              <w:rPr>
                <w:rFonts w:ascii="Times New Roman" w:hAnsi="Times New Roman"/>
                <w:sz w:val="24"/>
                <w:szCs w:val="24"/>
              </w:rPr>
              <w:t>№</w:t>
            </w:r>
            <w:r w:rsidR="00C300EF">
              <w:rPr>
                <w:rFonts w:ascii="Times New Roman" w:hAnsi="Times New Roman"/>
                <w:sz w:val="24"/>
                <w:szCs w:val="24"/>
              </w:rPr>
              <w:t xml:space="preserve"> 14-2018-УОФ (ООО «АСМ Тимушкина»), №№ 36.02.19-УОФ, 36.02.19-УОФ-ПЗ (ООО «АНДЕРГРАУНД»), могут выполняться только с использованием запатентованного метода (патент №2119009 от 20.09.1998) и только патентообладателями изобретения «Способ уплотнения грунтов» - патент № 2119009 от 20.09.1998 либо лицами, которым патентообладатели предоставили данное право в соответствии с действующим законодательством</w:t>
            </w:r>
            <w:proofErr w:type="gramEnd"/>
            <w:r w:rsidR="00C300EF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A76936" w:rsidRDefault="00A76936" w:rsidP="008E37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производства работ уточнить схемы расположени</w:t>
            </w:r>
            <w:r w:rsidR="003757E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коммуникаций и их отметки.</w:t>
            </w:r>
          </w:p>
          <w:p w:rsidR="007079E7" w:rsidRDefault="00DD5DE9" w:rsidP="003D732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E9">
              <w:rPr>
                <w:rFonts w:ascii="Times New Roman" w:hAnsi="Times New Roman"/>
                <w:sz w:val="24"/>
                <w:szCs w:val="24"/>
              </w:rPr>
              <w:t xml:space="preserve">Заказчик вправе осуществлять контроль и надзор за ходом и качеством выполняемых работ, соблюдением сроков их выполнения, качеством </w:t>
            </w:r>
            <w:r w:rsidR="006203EB">
              <w:rPr>
                <w:rFonts w:ascii="Times New Roman" w:hAnsi="Times New Roman"/>
                <w:sz w:val="24"/>
                <w:szCs w:val="24"/>
              </w:rPr>
              <w:t>использу</w:t>
            </w:r>
            <w:r w:rsidR="003D7329">
              <w:rPr>
                <w:rFonts w:ascii="Times New Roman" w:hAnsi="Times New Roman"/>
                <w:sz w:val="24"/>
                <w:szCs w:val="24"/>
              </w:rPr>
              <w:t>емых</w:t>
            </w:r>
            <w:bookmarkStart w:id="0" w:name="_GoBack"/>
            <w:bookmarkEnd w:id="0"/>
            <w:r w:rsidRPr="00DD5DE9">
              <w:rPr>
                <w:rFonts w:ascii="Times New Roman" w:hAnsi="Times New Roman"/>
                <w:sz w:val="24"/>
                <w:szCs w:val="24"/>
              </w:rPr>
              <w:t xml:space="preserve"> подрядчиком материалов</w:t>
            </w:r>
            <w:r w:rsidR="007079E7">
              <w:rPr>
                <w:rFonts w:ascii="Times New Roman" w:hAnsi="Times New Roman"/>
                <w:sz w:val="24"/>
                <w:szCs w:val="24"/>
              </w:rPr>
              <w:t xml:space="preserve"> в соответствии с проектной документацией</w:t>
            </w:r>
            <w:r w:rsidRPr="00DD5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9E7" w:rsidRDefault="007079E7" w:rsidP="00707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обязан </w:t>
            </w:r>
            <w:r w:rsidR="000E6DF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и предоставлять Заказчику акт выполненных работ.</w:t>
            </w:r>
          </w:p>
          <w:p w:rsidR="008E37EE" w:rsidRDefault="008E37EE" w:rsidP="008E37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подключения освещения строительной площадки и подключения электроинструментов</w:t>
            </w:r>
            <w:r w:rsidRPr="00F55943">
              <w:rPr>
                <w:rFonts w:ascii="Times New Roman" w:hAnsi="Times New Roman"/>
                <w:sz w:val="24"/>
                <w:szCs w:val="24"/>
              </w:rPr>
              <w:t xml:space="preserve">, для подключения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 w:rsidRPr="00F55943">
              <w:rPr>
                <w:rFonts w:ascii="Times New Roman" w:hAnsi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 с целью производства строительно-монтажных работ Подрядчику необходимо согласовать точки подключения к системам электроснабжения и водосн</w:t>
            </w:r>
            <w:r w:rsidR="003757EA">
              <w:rPr>
                <w:rFonts w:ascii="Times New Roman" w:hAnsi="Times New Roman"/>
                <w:sz w:val="24"/>
                <w:szCs w:val="24"/>
              </w:rPr>
              <w:t>абжения с пользователями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установить соответствующие приборы учета для определения объемов потребленных ресурсов. </w:t>
            </w:r>
            <w:r w:rsidRPr="00000DEE">
              <w:rPr>
                <w:rFonts w:ascii="Times New Roman" w:hAnsi="Times New Roman"/>
                <w:sz w:val="24"/>
                <w:szCs w:val="24"/>
              </w:rPr>
              <w:t>Учет и оплату потребленной 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воды</w:t>
            </w:r>
            <w:r w:rsidRPr="00000DEE"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 согласовать </w:t>
            </w:r>
            <w:r>
              <w:rPr>
                <w:rFonts w:ascii="Times New Roman" w:hAnsi="Times New Roman"/>
                <w:sz w:val="24"/>
                <w:szCs w:val="24"/>
              </w:rPr>
              <w:t>с пользователями зданий</w:t>
            </w:r>
            <w:r w:rsidRPr="00000D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Оплата </w:t>
            </w:r>
            <w:r w:rsidRPr="00000DEE">
              <w:rPr>
                <w:rFonts w:ascii="Times New Roman" w:hAnsi="Times New Roman"/>
                <w:sz w:val="24"/>
                <w:szCs w:val="24"/>
              </w:rPr>
              <w:t>потребленной 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воды</w:t>
            </w:r>
            <w:r w:rsidRPr="00000DEE"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</w:t>
            </w:r>
            <w:r w:rsidR="0010522A">
              <w:rPr>
                <w:rFonts w:ascii="Times New Roman" w:hAnsi="Times New Roman"/>
                <w:sz w:val="24"/>
                <w:szCs w:val="24"/>
              </w:rPr>
              <w:t xml:space="preserve"> является обязанностью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одрядчика.</w:t>
            </w:r>
          </w:p>
          <w:p w:rsidR="00854ECF" w:rsidRDefault="00854ECF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Подрядчику необходимо согласовать с</w:t>
            </w:r>
            <w:r w:rsidR="0010522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3757EA">
              <w:rPr>
                <w:rFonts w:ascii="Times New Roman" w:hAnsi="Times New Roman"/>
                <w:sz w:val="24"/>
                <w:szCs w:val="24"/>
              </w:rPr>
              <w:t>аказчиком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пользователями зданий места</w:t>
            </w:r>
            <w:r w:rsidR="00DD5DE9">
              <w:rPr>
                <w:rFonts w:ascii="Times New Roman" w:hAnsi="Times New Roman"/>
                <w:sz w:val="24"/>
                <w:szCs w:val="24"/>
              </w:rPr>
              <w:t xml:space="preserve"> размещения техники,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временного складирования ма</w:t>
            </w:r>
            <w:r w:rsidR="00DD5DE9">
              <w:rPr>
                <w:rFonts w:ascii="Times New Roman" w:hAnsi="Times New Roman"/>
                <w:sz w:val="24"/>
                <w:szCs w:val="24"/>
              </w:rPr>
              <w:t>териалов и строительного мусора.</w:t>
            </w:r>
          </w:p>
          <w:p w:rsidR="005E0539" w:rsidRPr="00C82A29" w:rsidRDefault="007D0B00" w:rsidP="005E05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</w:t>
            </w:r>
            <w:r w:rsidRPr="00C82A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действующим законодательством РФ, требованиям ГОСТ, СНиП</w:t>
            </w:r>
            <w:r w:rsidR="00C300EF">
              <w:rPr>
                <w:rFonts w:ascii="Times New Roman" w:hAnsi="Times New Roman"/>
                <w:sz w:val="24"/>
                <w:szCs w:val="24"/>
              </w:rPr>
              <w:t xml:space="preserve"> (СНиП 12-03-2001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</w:t>
            </w:r>
            <w:r w:rsidR="00C300EF">
              <w:rPr>
                <w:rFonts w:ascii="Times New Roman" w:hAnsi="Times New Roman"/>
                <w:sz w:val="24"/>
                <w:szCs w:val="24"/>
              </w:rPr>
              <w:t>СНиП 12-04-2002, СП 22.13330.2011),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7D0B00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Качество работ и технология их выполнения должны соответствовать положениям строительных норм и правил по видам работ, в том числе соответствовать требованиям, установленным нормативными документами, указанными в </w:t>
            </w:r>
            <w:r w:rsidR="005A5C3E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5E0539" w:rsidRPr="00312DF4">
              <w:rPr>
                <w:rFonts w:ascii="Times New Roman" w:hAnsi="Times New Roman"/>
                <w:sz w:val="24"/>
                <w:szCs w:val="24"/>
              </w:rPr>
              <w:t>№</w:t>
            </w:r>
            <w:r w:rsidR="005E0539">
              <w:rPr>
                <w:rFonts w:ascii="Times New Roman" w:hAnsi="Times New Roman"/>
                <w:sz w:val="24"/>
                <w:szCs w:val="24"/>
              </w:rPr>
              <w:t xml:space="preserve"> 14-2018-УОФ (ООО «АСМ Тимушкина»), №№ 36.02.19-УОФ, 36.02.19-УОФ-ПЗ (ООО «АНДЕРГРАУНД»)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FB2" w:rsidRPr="00D64AF7" w:rsidRDefault="001E6FB2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обязан осуществлять геодезический мониторинг за фактическими деформациями основания на этапе проведения работ</w:t>
            </w:r>
            <w:r w:rsidR="00D64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Подрядчик по требованию Заказчика обязан </w:t>
            </w: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82A29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7132F9">
        <w:trPr>
          <w:gridBefore w:val="1"/>
          <w:wBefore w:w="129" w:type="dxa"/>
          <w:trHeight w:val="288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AE7D86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251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AC403C">
        <w:trPr>
          <w:gridBefore w:val="1"/>
          <w:wBefore w:w="129" w:type="dxa"/>
          <w:trHeight w:val="1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keepLines/>
              <w:tabs>
                <w:tab w:val="num" w:pos="709"/>
              </w:tabs>
              <w:suppressAutoHyphens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Приемка - сдача выполненных Подрядчиком работ осуществляется после выполнения Подрядчиком всего объема работ, указанных в Приложении № 2, о чем составляется и подписывается сторонами акт приемки выполненных работ (форма КС-2) и справка о стоимости выполненных работ и затрат (форма КС-3).</w:t>
            </w:r>
          </w:p>
          <w:p w:rsidR="00AE7D86" w:rsidRPr="00C82A29" w:rsidRDefault="00474C8E" w:rsidP="00D64A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314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0D34F9" w:rsidRDefault="000D34F9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0C">
              <w:rPr>
                <w:rFonts w:ascii="Times New Roman" w:hAnsi="Times New Roman"/>
                <w:sz w:val="24"/>
                <w:szCs w:val="24"/>
              </w:rPr>
              <w:t xml:space="preserve">Гарантийный срок на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строительно-монтажных и ремонтных работ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 лет со дня подписания а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>кта приемки выполненных работ.</w:t>
            </w:r>
          </w:p>
          <w:p w:rsidR="007D0B00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5E0539" w:rsidRPr="00C82A29" w:rsidRDefault="005E0539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имеет право совместно с Заказчиком осуществлять геодезический мониторинг за фактическими деформациями основания </w:t>
            </w:r>
            <w:r w:rsidR="001E6FB2">
              <w:rPr>
                <w:rFonts w:ascii="Times New Roman" w:hAnsi="Times New Roman"/>
                <w:sz w:val="24"/>
                <w:szCs w:val="24"/>
              </w:rPr>
              <w:t>после проведения работ</w:t>
            </w:r>
            <w:r>
              <w:rPr>
                <w:rFonts w:ascii="Times New Roman" w:hAnsi="Times New Roman"/>
                <w:sz w:val="24"/>
                <w:szCs w:val="24"/>
              </w:rPr>
              <w:t>, вплоть до полной стабилизации деформаций или фиксации таких скоростей их протекания, которые можно принимать за условную стабилизацию</w:t>
            </w:r>
            <w:r w:rsidR="00D64AF7">
              <w:rPr>
                <w:rFonts w:ascii="Times New Roman" w:hAnsi="Times New Roman"/>
                <w:sz w:val="24"/>
                <w:szCs w:val="24"/>
              </w:rPr>
              <w:t xml:space="preserve"> (согласно разделу 12 СП 22.13330.2011)</w:t>
            </w:r>
            <w:r w:rsidR="003757EA">
              <w:rPr>
                <w:rFonts w:ascii="Times New Roman" w:hAnsi="Times New Roman"/>
                <w:sz w:val="24"/>
                <w:szCs w:val="24"/>
              </w:rPr>
              <w:t>, с составлением соответствующих актов и ведением журнала наблюдения за осадками.</w:t>
            </w:r>
          </w:p>
          <w:p w:rsidR="007D0B00" w:rsidRPr="00C82A29" w:rsidRDefault="003757EA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выявления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в период гарантийного срока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дефектов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(недостатк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) и (или) недодел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, т</w:t>
            </w:r>
            <w:r w:rsidR="00900E41">
              <w:rPr>
                <w:rFonts w:ascii="Times New Roman" w:hAnsi="Times New Roman"/>
                <w:sz w:val="24"/>
                <w:szCs w:val="24"/>
              </w:rPr>
              <w:t>о их устранение осуществляется п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одрядчиком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разумные сроки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7D0B00" w:rsidRPr="00C82A29" w:rsidRDefault="007D0B00" w:rsidP="00D25E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 w:rsidR="00D25EC4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ом работы, обнаруженные в течение установленного </w:t>
            </w:r>
            <w:r w:rsidR="00D25EC4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7D0B00" w:rsidRPr="00C82A29" w:rsidTr="007132F9">
        <w:trPr>
          <w:gridBefore w:val="1"/>
          <w:wBefore w:w="129" w:type="dxa"/>
          <w:trHeight w:val="33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D25EC4">
        <w:trPr>
          <w:gridBefore w:val="1"/>
          <w:wBefore w:w="129" w:type="dxa"/>
          <w:trHeight w:val="274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34B40" w:rsidRPr="00C82A29" w:rsidRDefault="007D0B00" w:rsidP="007079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</w:t>
            </w:r>
            <w:r w:rsidR="00D25EC4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е, после выполнения последним объема работ, предусмотренного </w:t>
            </w:r>
            <w:r w:rsidR="00D25EC4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ом и приложениями к нему, и подписания Сторонами акта о приемке выполненных работ по форме КС-2, справки о стоимости выполненных работ и затрат по форме КС-3, в течение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10 (Дес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яти)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900E41">
              <w:rPr>
                <w:rFonts w:ascii="Times New Roman" w:hAnsi="Times New Roman"/>
                <w:sz w:val="24"/>
                <w:szCs w:val="24"/>
              </w:rPr>
              <w:t xml:space="preserve"> дней с даты предоставления п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одрядчиком счета, счета-фактуры</w:t>
            </w:r>
            <w:r w:rsidR="007E37CF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proofErr w:type="gramEnd"/>
            <w:r w:rsidR="007E37CF">
              <w:rPr>
                <w:rFonts w:ascii="Times New Roman" w:hAnsi="Times New Roman"/>
                <w:sz w:val="24"/>
                <w:szCs w:val="24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C82A2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0C7891" w:rsidRDefault="000C7891" w:rsidP="00AC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</w:t>
            </w:r>
            <w:r w:rsidR="0090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по согласованию с з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пользовател</w:t>
            </w:r>
            <w:r w:rsidR="005A5C3E">
              <w:rPr>
                <w:rFonts w:ascii="Times New Roman" w:eastAsia="Times New Roman" w:hAnsi="Times New Roman" w:cs="Times New Roman"/>
                <w:sz w:val="24"/>
                <w:szCs w:val="24"/>
              </w:rPr>
              <w:t>ем помещения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B00" w:rsidRPr="00C82A29" w:rsidRDefault="007D0B00" w:rsidP="002D3D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использовать материалы, указанные в Приложении № </w:t>
            </w:r>
            <w:r w:rsidR="002D3D31">
              <w:rPr>
                <w:rFonts w:ascii="Times New Roman" w:hAnsi="Times New Roman"/>
                <w:sz w:val="24"/>
                <w:szCs w:val="24"/>
              </w:rPr>
              <w:t>1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расчет), </w:t>
            </w:r>
            <w:r w:rsidR="002D3D31" w:rsidRPr="00312DF4">
              <w:rPr>
                <w:rFonts w:ascii="Times New Roman" w:hAnsi="Times New Roman"/>
                <w:sz w:val="24"/>
                <w:szCs w:val="24"/>
              </w:rPr>
              <w:t>рабочей документаци</w:t>
            </w:r>
            <w:r w:rsidR="002D3D31">
              <w:rPr>
                <w:rFonts w:ascii="Times New Roman" w:hAnsi="Times New Roman"/>
                <w:sz w:val="24"/>
                <w:szCs w:val="24"/>
              </w:rPr>
              <w:t>и</w:t>
            </w:r>
            <w:r w:rsidR="0050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7B4" w:rsidRPr="00312DF4">
              <w:rPr>
                <w:rFonts w:ascii="Times New Roman" w:hAnsi="Times New Roman"/>
                <w:sz w:val="24"/>
                <w:szCs w:val="24"/>
              </w:rPr>
              <w:t>№</w:t>
            </w:r>
            <w:r w:rsidR="00B017B4">
              <w:rPr>
                <w:rFonts w:ascii="Times New Roman" w:hAnsi="Times New Roman"/>
                <w:sz w:val="24"/>
                <w:szCs w:val="24"/>
              </w:rPr>
              <w:t xml:space="preserve"> 14-2018-УОФ (ООО «АСМ Тимушкина»), №№ 36.02.19-УОФ, 36.02.19-УОФ-ПЗ (ООО «АНДЕРГРАУНД»)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187">
              <w:rPr>
                <w:rFonts w:ascii="Times New Roman" w:hAnsi="Times New Roman"/>
                <w:sz w:val="24"/>
                <w:szCs w:val="24"/>
              </w:rPr>
              <w:t>к аукционной документации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либо, по согласованию с Заказчиком, материалы, имеющие аналогичные</w:t>
            </w:r>
            <w:r w:rsidR="00D1067A">
              <w:rPr>
                <w:rFonts w:ascii="Times New Roman" w:hAnsi="Times New Roman"/>
                <w:sz w:val="24"/>
                <w:szCs w:val="24"/>
              </w:rPr>
              <w:t xml:space="preserve"> (эквивалентные)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или более высокие технические характеристики.</w:t>
            </w:r>
            <w:proofErr w:type="gramEnd"/>
          </w:p>
        </w:tc>
      </w:tr>
      <w:tr w:rsidR="007D0B00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119"/>
          <w:jc w:val="center"/>
        </w:trPr>
        <w:tc>
          <w:tcPr>
            <w:tcW w:w="5362" w:type="dxa"/>
            <w:gridSpan w:val="2"/>
          </w:tcPr>
          <w:p w:rsidR="007D0B00" w:rsidRPr="00C82A29" w:rsidRDefault="007D0B00" w:rsidP="007132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</w:tcPr>
          <w:p w:rsidR="007D0B00" w:rsidRPr="00C82A29" w:rsidRDefault="007D0B00" w:rsidP="007132F9">
            <w:pPr>
              <w:shd w:val="clear" w:color="auto" w:fill="FFFFFF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3D31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2D3D31" w:rsidRPr="005C5A68" w:rsidRDefault="002D3D31" w:rsidP="00670CF5">
            <w:pPr>
              <w:suppressAutoHyphens/>
              <w:snapToGrid w:val="0"/>
              <w:spacing w:after="0"/>
              <w:ind w:left="1300" w:hanging="13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2D3D31" w:rsidRPr="005C5A68" w:rsidRDefault="002D3D31" w:rsidP="00670CF5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2A29" w:rsidRPr="00C82A29" w:rsidSect="00C82A29">
      <w:headerReference w:type="even" r:id="rId7"/>
      <w:footerReference w:type="even" r:id="rId8"/>
      <w:footerReference w:type="default" r:id="rId9"/>
      <w:endnotePr>
        <w:numFmt w:val="decimal"/>
      </w:endnotePr>
      <w:pgSz w:w="11906" w:h="16838"/>
      <w:pgMar w:top="567" w:right="425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C4" w:rsidRDefault="00D25EC4" w:rsidP="0084418E">
      <w:pPr>
        <w:spacing w:after="0" w:line="240" w:lineRule="auto"/>
      </w:pPr>
      <w:r>
        <w:separator/>
      </w:r>
    </w:p>
  </w:endnote>
  <w:endnote w:type="continuationSeparator" w:id="1">
    <w:p w:rsidR="00D25EC4" w:rsidRDefault="00D25EC4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C4" w:rsidRDefault="00692F41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5E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EC4" w:rsidRDefault="00D25E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C4" w:rsidRDefault="00D25EC4" w:rsidP="00C82A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C4" w:rsidRDefault="00D25EC4" w:rsidP="0084418E">
      <w:pPr>
        <w:spacing w:after="0" w:line="240" w:lineRule="auto"/>
      </w:pPr>
      <w:r>
        <w:separator/>
      </w:r>
    </w:p>
  </w:footnote>
  <w:footnote w:type="continuationSeparator" w:id="1">
    <w:p w:rsidR="00D25EC4" w:rsidRDefault="00D25EC4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C4" w:rsidRDefault="00692F41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E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EC4">
      <w:rPr>
        <w:rStyle w:val="a5"/>
      </w:rPr>
      <w:t>1</w:t>
    </w:r>
    <w:r>
      <w:rPr>
        <w:rStyle w:val="a5"/>
      </w:rPr>
      <w:fldChar w:fldCharType="end"/>
    </w:r>
  </w:p>
  <w:p w:rsidR="00D25EC4" w:rsidRDefault="00D25E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2A29"/>
    <w:rsid w:val="000A61F7"/>
    <w:rsid w:val="000C7891"/>
    <w:rsid w:val="000D34F9"/>
    <w:rsid w:val="000E6DF4"/>
    <w:rsid w:val="000F6B5E"/>
    <w:rsid w:val="0010522A"/>
    <w:rsid w:val="00110B47"/>
    <w:rsid w:val="001621B8"/>
    <w:rsid w:val="001A13C6"/>
    <w:rsid w:val="001C33DB"/>
    <w:rsid w:val="001E6FB2"/>
    <w:rsid w:val="00246D75"/>
    <w:rsid w:val="002A445F"/>
    <w:rsid w:val="002D04AB"/>
    <w:rsid w:val="002D3D31"/>
    <w:rsid w:val="00304E43"/>
    <w:rsid w:val="00312DF4"/>
    <w:rsid w:val="00323ACD"/>
    <w:rsid w:val="0037312E"/>
    <w:rsid w:val="003757EA"/>
    <w:rsid w:val="003B1384"/>
    <w:rsid w:val="003D7329"/>
    <w:rsid w:val="00474C8E"/>
    <w:rsid w:val="004C7E27"/>
    <w:rsid w:val="00500187"/>
    <w:rsid w:val="005A03C6"/>
    <w:rsid w:val="005A5C3E"/>
    <w:rsid w:val="005B20BF"/>
    <w:rsid w:val="005E0539"/>
    <w:rsid w:val="006203EB"/>
    <w:rsid w:val="006319B0"/>
    <w:rsid w:val="00670CF5"/>
    <w:rsid w:val="00692F41"/>
    <w:rsid w:val="0069655C"/>
    <w:rsid w:val="006F5C33"/>
    <w:rsid w:val="007079E7"/>
    <w:rsid w:val="007132F9"/>
    <w:rsid w:val="00734B40"/>
    <w:rsid w:val="007B36EF"/>
    <w:rsid w:val="007D0B00"/>
    <w:rsid w:val="007D29E3"/>
    <w:rsid w:val="007E37CF"/>
    <w:rsid w:val="00810D8F"/>
    <w:rsid w:val="0084418E"/>
    <w:rsid w:val="00854ECF"/>
    <w:rsid w:val="008B4B41"/>
    <w:rsid w:val="008E37EE"/>
    <w:rsid w:val="008E6831"/>
    <w:rsid w:val="00900E41"/>
    <w:rsid w:val="00990FA4"/>
    <w:rsid w:val="009959A7"/>
    <w:rsid w:val="00A76936"/>
    <w:rsid w:val="00AC403C"/>
    <w:rsid w:val="00AE7D86"/>
    <w:rsid w:val="00B017B4"/>
    <w:rsid w:val="00B16CC6"/>
    <w:rsid w:val="00B22ACE"/>
    <w:rsid w:val="00B73336"/>
    <w:rsid w:val="00BF1D7E"/>
    <w:rsid w:val="00C300EF"/>
    <w:rsid w:val="00C4196C"/>
    <w:rsid w:val="00C47B21"/>
    <w:rsid w:val="00C82A29"/>
    <w:rsid w:val="00D1067A"/>
    <w:rsid w:val="00D25EC4"/>
    <w:rsid w:val="00D54FDB"/>
    <w:rsid w:val="00D6199C"/>
    <w:rsid w:val="00D64AF7"/>
    <w:rsid w:val="00D82582"/>
    <w:rsid w:val="00DD5DE9"/>
    <w:rsid w:val="00E23EC2"/>
    <w:rsid w:val="00E361B7"/>
    <w:rsid w:val="00F1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2019-04-09T02:37:00Z</cp:lastPrinted>
  <dcterms:created xsi:type="dcterms:W3CDTF">2019-04-02T09:59:00Z</dcterms:created>
  <dcterms:modified xsi:type="dcterms:W3CDTF">2019-04-10T03:58:00Z</dcterms:modified>
</cp:coreProperties>
</file>